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F8" w:rsidRDefault="000408D1" w:rsidP="00E66D97">
      <w:pPr>
        <w:jc w:val="center"/>
        <w:rPr>
          <w:b/>
          <w:sz w:val="28"/>
          <w:szCs w:val="28"/>
        </w:rPr>
      </w:pPr>
      <w:r>
        <w:rPr>
          <w:b/>
          <w:noProof/>
          <w:sz w:val="28"/>
          <w:szCs w:val="28"/>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19050</wp:posOffset>
                </wp:positionV>
                <wp:extent cx="4617085" cy="800100"/>
                <wp:effectExtent l="19050" t="19050" r="31115" b="57150"/>
                <wp:wrapTight wrapText="bothSides">
                  <wp:wrapPolygon edited="0">
                    <wp:start x="-89" y="-514"/>
                    <wp:lineTo x="-89" y="22629"/>
                    <wp:lineTo x="21656" y="22629"/>
                    <wp:lineTo x="21656" y="-514"/>
                    <wp:lineTo x="-89" y="-51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800100"/>
                        </a:xfrm>
                        <a:prstGeom prst="rect">
                          <a:avLst/>
                        </a:prstGeom>
                        <a:solidFill>
                          <a:schemeClr val="accent2">
                            <a:lumMod val="60000"/>
                            <a:lumOff val="40000"/>
                          </a:schemeClr>
                        </a:solidFill>
                        <a:ln w="38100">
                          <a:solidFill>
                            <a:schemeClr val="bg1">
                              <a:lumMod val="8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F445F8" w:rsidRDefault="00CD315B" w:rsidP="00F445F8">
                            <w:pPr>
                              <w:jc w:val="center"/>
                              <w:rPr>
                                <w:b/>
                                <w:sz w:val="24"/>
                                <w:szCs w:val="24"/>
                              </w:rPr>
                            </w:pPr>
                            <w:r>
                              <w:rPr>
                                <w:b/>
                                <w:sz w:val="28"/>
                                <w:szCs w:val="28"/>
                              </w:rPr>
                              <w:t>Illinois State University/Office of the Provost</w:t>
                            </w:r>
                            <w:r>
                              <w:rPr>
                                <w:b/>
                                <w:sz w:val="28"/>
                                <w:szCs w:val="28"/>
                              </w:rPr>
                              <w:br/>
                            </w:r>
                            <w:r w:rsidR="00F445F8" w:rsidRPr="000357D5">
                              <w:rPr>
                                <w:b/>
                                <w:sz w:val="28"/>
                                <w:szCs w:val="28"/>
                              </w:rPr>
                              <w:t>Full-</w:t>
                            </w:r>
                            <w:r w:rsidR="00F445F8">
                              <w:rPr>
                                <w:b/>
                                <w:sz w:val="28"/>
                                <w:szCs w:val="28"/>
                              </w:rPr>
                              <w:t xml:space="preserve">Cost Recovery </w:t>
                            </w:r>
                            <w:r w:rsidR="00F445F8" w:rsidRPr="000357D5">
                              <w:rPr>
                                <w:b/>
                                <w:sz w:val="28"/>
                                <w:szCs w:val="28"/>
                              </w:rPr>
                              <w:t>(FCR)</w:t>
                            </w:r>
                            <w:r w:rsidR="00F445F8">
                              <w:rPr>
                                <w:b/>
                                <w:sz w:val="28"/>
                                <w:szCs w:val="28"/>
                              </w:rPr>
                              <w:br/>
                            </w:r>
                            <w:r w:rsidR="00F445F8" w:rsidRPr="003A50B4">
                              <w:rPr>
                                <w:b/>
                                <w:sz w:val="24"/>
                                <w:szCs w:val="24"/>
                              </w:rPr>
                              <w:t xml:space="preserve">Eligibility and Approval Process for Degree Programs and Certificates </w:t>
                            </w:r>
                          </w:p>
                          <w:p w:rsidR="00F445F8" w:rsidRDefault="00F445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pt;width:363.55pt;height:6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RsoAIAAJsFAAAOAAAAZHJzL2Uyb0RvYy54bWysVN9v0zAQfkfif7D8zpJmbZdFS6exMYTE&#10;L2lDPF9tJ7FwbGO7TcZfz9lpS2EDJEQeIvtsf3f33Xd3cTn2imyF89Loms5OckqEZoZL3db00/3t&#10;i5ISH0BzUEaLmj4ITy9Xz59dDLYShemM4sIRBNG+GmxNuxBslWWedaIHf2Ks0HjYGNdDwK1rM+5g&#10;QPReZUWeL7PBOG6dYcJ7tN5Mh3SV8JtGsPChabwIRNUUYwvp79J/Hf/Z6gKq1oHtJNuFAf8QRQ9S&#10;o9MD1A0EIBsnH0H1kjnjTRNOmOkz0zSSiZQDZjPLf8nmrgMrUi5IjrcHmvz/g2Xvtx8dkbymBSUa&#10;eizRvRgDeWlGUkR2BusrvHRn8VoY0YxVTpl6+9awL55oc92BbsWVc2boBHCMbhZfZkdPJxwfQdbD&#10;O8PRDWyCSUBj4/pIHZJBEB2r9HCoTAyFoXG+nJ3l5YIShmdljlSl0mVQ7V9b58NrYXoSFzV1WPmE&#10;Dtu3PsRooNpfic68UZLfSqXSJqpNXCtHtoA6AcaEDkV6rjY9hjvZlzl+k2LQjLqazPO9GV0k3Uak&#10;5PAnJ0qToaanZQz9bxGs24njY+/l4knvex7+4LmXAXtMyT5Rd0CJtXqleeqAAFJNa0xC6RifSN2D&#10;5MWN2SDEXccHwmWktyhPz7GzucRWOi3zZX5+RgmoFmcAC44SZ8JnGbok4FjM37K8eMRyTPMJlncm&#10;ULaDiffDxUe8H6JNVThKJEkyqnDSYxjX407ia8MfUJwYd1IgTjRcdMZ9o2TA6VBT/3UDTlCi3mgU&#10;+PlsPo/jJG3mi7MCN+74ZH18ApohVE0DcpSW12EaQRvrZNuhp6nc2lxhUzQy6TV2zxTVrpVwAqR8&#10;dtMqjpjjfbr1Y6auvgMAAP//AwBQSwMEFAAGAAgAAAAhADNoCPTdAAAABgEAAA8AAABkcnMvZG93&#10;bnJldi54bWxMj0FLw0AQhe+C/2EZwZvdNAVrYzalFFREhDb14m2SjNlgdjZmt238944nPT2G93jv&#10;m3w9uV6daAydZwPzWQKKuPZNx62Bt8PDzR2oEJEb7D2TgW8KsC4uL3LMGn/mPZ3K2Cop4ZChARvj&#10;kGkdaksOw8wPxOJ9+NFhlHNsdTPiWcpdr9MkudUOO5YFiwNtLdWf5dEZGMIjltXuabP/erYLbw+r&#10;9+3LqzHXV9PmHlSkKf6F4Rdf0KEQpsofuQmqNyCPRAMLETGX6XIOqpJUukpAF7n+j1/8AAAA//8D&#10;AFBLAQItABQABgAIAAAAIQC2gziS/gAAAOEBAAATAAAAAAAAAAAAAAAAAAAAAABbQ29udGVudF9U&#10;eXBlc10ueG1sUEsBAi0AFAAGAAgAAAAhADj9If/WAAAAlAEAAAsAAAAAAAAAAAAAAAAALwEAAF9y&#10;ZWxzLy5yZWxzUEsBAi0AFAAGAAgAAAAhALrE1GygAgAAmwUAAA4AAAAAAAAAAAAAAAAALgIAAGRy&#10;cy9lMm9Eb2MueG1sUEsBAi0AFAAGAAgAAAAhADNoCPTdAAAABgEAAA8AAAAAAAAAAAAAAAAA+gQA&#10;AGRycy9kb3ducmV2LnhtbFBLBQYAAAAABAAEAPMAAAAEBgAAAAA=&#10;" fillcolor="#d99594 [1941]" strokecolor="#d8d8d8 [2732]" strokeweight="3pt">
                <v:shadow on="t" color="#205867 [1608]" opacity=".5" offset="1pt"/>
                <v:textbox>
                  <w:txbxContent>
                    <w:p w:rsidR="00F445F8" w:rsidRDefault="00CD315B" w:rsidP="00F445F8">
                      <w:pPr>
                        <w:jc w:val="center"/>
                        <w:rPr>
                          <w:b/>
                          <w:sz w:val="24"/>
                          <w:szCs w:val="24"/>
                        </w:rPr>
                      </w:pPr>
                      <w:r>
                        <w:rPr>
                          <w:b/>
                          <w:sz w:val="28"/>
                          <w:szCs w:val="28"/>
                        </w:rPr>
                        <w:t>Illinois State University/Office of the Provost</w:t>
                      </w:r>
                      <w:r>
                        <w:rPr>
                          <w:b/>
                          <w:sz w:val="28"/>
                          <w:szCs w:val="28"/>
                        </w:rPr>
                        <w:br/>
                      </w:r>
                      <w:r w:rsidR="00F445F8" w:rsidRPr="000357D5">
                        <w:rPr>
                          <w:b/>
                          <w:sz w:val="28"/>
                          <w:szCs w:val="28"/>
                        </w:rPr>
                        <w:t>Full-</w:t>
                      </w:r>
                      <w:r w:rsidR="00F445F8">
                        <w:rPr>
                          <w:b/>
                          <w:sz w:val="28"/>
                          <w:szCs w:val="28"/>
                        </w:rPr>
                        <w:t xml:space="preserve">Cost Recovery </w:t>
                      </w:r>
                      <w:r w:rsidR="00F445F8" w:rsidRPr="000357D5">
                        <w:rPr>
                          <w:b/>
                          <w:sz w:val="28"/>
                          <w:szCs w:val="28"/>
                        </w:rPr>
                        <w:t>(FCR)</w:t>
                      </w:r>
                      <w:r w:rsidR="00F445F8">
                        <w:rPr>
                          <w:b/>
                          <w:sz w:val="28"/>
                          <w:szCs w:val="28"/>
                        </w:rPr>
                        <w:br/>
                      </w:r>
                      <w:r w:rsidR="00F445F8" w:rsidRPr="003A50B4">
                        <w:rPr>
                          <w:b/>
                          <w:sz w:val="24"/>
                          <w:szCs w:val="24"/>
                        </w:rPr>
                        <w:t xml:space="preserve">Eligibility and Approval Process for Degree Programs and Certificates </w:t>
                      </w:r>
                    </w:p>
                    <w:p w:rsidR="00F445F8" w:rsidRDefault="00F445F8"/>
                  </w:txbxContent>
                </v:textbox>
                <w10:wrap type="tight" anchorx="margin"/>
              </v:shape>
            </w:pict>
          </mc:Fallback>
        </mc:AlternateContent>
      </w:r>
    </w:p>
    <w:p w:rsidR="00F445F8" w:rsidRDefault="00F445F8" w:rsidP="00E66D97">
      <w:pPr>
        <w:jc w:val="center"/>
        <w:rPr>
          <w:b/>
          <w:sz w:val="28"/>
          <w:szCs w:val="28"/>
        </w:rPr>
      </w:pPr>
    </w:p>
    <w:p w:rsidR="003650AC" w:rsidRDefault="003650AC" w:rsidP="00E66D97">
      <w:pPr>
        <w:jc w:val="center"/>
        <w:rPr>
          <w:b/>
          <w:sz w:val="28"/>
          <w:szCs w:val="28"/>
        </w:rPr>
      </w:pPr>
      <w:bookmarkStart w:id="0" w:name="_GoBack"/>
      <w:bookmarkEnd w:id="0"/>
    </w:p>
    <w:p w:rsidR="00E66D97" w:rsidRPr="00E66D97" w:rsidRDefault="00E66D97" w:rsidP="00E66D97">
      <w:pPr>
        <w:rPr>
          <w:b/>
          <w:sz w:val="24"/>
          <w:szCs w:val="24"/>
        </w:rPr>
      </w:pPr>
      <w:r w:rsidRPr="000357D5">
        <w:t>The purpose of the Full-Cost Recovery Model is to provide academic units the ability to deliver courses to address the needs of a specific population of students who would not otherwise enrol</w:t>
      </w:r>
      <w:r w:rsidR="008008E7">
        <w:t xml:space="preserve">l at Illinois State University – without the need to contract with an outside agency. </w:t>
      </w:r>
    </w:p>
    <w:p w:rsidR="00C3654F" w:rsidRPr="000357D5" w:rsidRDefault="00B10068" w:rsidP="00C3654F">
      <w:pPr>
        <w:rPr>
          <w:b/>
        </w:rPr>
      </w:pPr>
      <w:r w:rsidRPr="000357D5">
        <w:rPr>
          <w:b/>
        </w:rPr>
        <w:t>Eligibility</w:t>
      </w:r>
    </w:p>
    <w:p w:rsidR="00C3654F" w:rsidRPr="008008E7" w:rsidRDefault="00C3654F" w:rsidP="000357D5">
      <w:pPr>
        <w:pStyle w:val="NormalWeb"/>
        <w:numPr>
          <w:ilvl w:val="0"/>
          <w:numId w:val="2"/>
        </w:numPr>
        <w:rPr>
          <w:rFonts w:asciiTheme="minorHAnsi" w:hAnsiTheme="minorHAnsi"/>
          <w:sz w:val="20"/>
          <w:szCs w:val="20"/>
        </w:rPr>
      </w:pPr>
      <w:r w:rsidRPr="000357D5">
        <w:rPr>
          <w:rFonts w:asciiTheme="minorHAnsi" w:hAnsiTheme="minorHAnsi"/>
          <w:sz w:val="22"/>
          <w:szCs w:val="22"/>
        </w:rPr>
        <w:t xml:space="preserve">Students may not be currently enrolled, degree (certificate)-seeking Illinois State University students. </w:t>
      </w:r>
      <w:r w:rsidRPr="000357D5">
        <w:rPr>
          <w:rFonts w:asciiTheme="minorHAnsi" w:hAnsiTheme="minorHAnsi"/>
          <w:sz w:val="22"/>
          <w:szCs w:val="22"/>
        </w:rPr>
        <w:br/>
      </w:r>
    </w:p>
    <w:p w:rsidR="00432AF6" w:rsidRPr="008008E7" w:rsidRDefault="008B3FB3" w:rsidP="00363965">
      <w:pPr>
        <w:pStyle w:val="NormalWeb"/>
        <w:numPr>
          <w:ilvl w:val="0"/>
          <w:numId w:val="2"/>
        </w:numPr>
        <w:rPr>
          <w:rFonts w:asciiTheme="minorHAnsi" w:hAnsiTheme="minorHAnsi"/>
          <w:sz w:val="20"/>
          <w:szCs w:val="20"/>
        </w:rPr>
      </w:pPr>
      <w:r>
        <w:rPr>
          <w:rFonts w:asciiTheme="minorHAnsi" w:hAnsiTheme="minorHAnsi"/>
          <w:sz w:val="22"/>
          <w:szCs w:val="22"/>
        </w:rPr>
        <w:t xml:space="preserve">Courses must follow the University’s approved Academic Calendar. </w:t>
      </w:r>
      <w:r w:rsidR="00363965">
        <w:rPr>
          <w:rFonts w:asciiTheme="minorHAnsi" w:hAnsiTheme="minorHAnsi"/>
          <w:sz w:val="22"/>
          <w:szCs w:val="22"/>
        </w:rPr>
        <w:br/>
      </w:r>
    </w:p>
    <w:p w:rsidR="00432AF6" w:rsidRPr="008008E7" w:rsidRDefault="00C3654F" w:rsidP="00363965">
      <w:pPr>
        <w:pStyle w:val="NormalWeb"/>
        <w:numPr>
          <w:ilvl w:val="0"/>
          <w:numId w:val="2"/>
        </w:numPr>
        <w:rPr>
          <w:rFonts w:asciiTheme="minorHAnsi" w:hAnsiTheme="minorHAnsi"/>
          <w:sz w:val="20"/>
          <w:szCs w:val="20"/>
        </w:rPr>
      </w:pPr>
      <w:r w:rsidRPr="000357D5">
        <w:rPr>
          <w:rFonts w:asciiTheme="minorHAnsi" w:hAnsiTheme="minorHAnsi"/>
          <w:sz w:val="22"/>
          <w:szCs w:val="22"/>
        </w:rPr>
        <w:t xml:space="preserve">Only students who are </w:t>
      </w:r>
      <w:r w:rsidR="008B3FB3">
        <w:rPr>
          <w:rFonts w:asciiTheme="minorHAnsi" w:hAnsiTheme="minorHAnsi"/>
          <w:sz w:val="22"/>
          <w:szCs w:val="22"/>
        </w:rPr>
        <w:t xml:space="preserve">admitted to </w:t>
      </w:r>
      <w:r w:rsidRPr="000357D5">
        <w:rPr>
          <w:rFonts w:asciiTheme="minorHAnsi" w:hAnsiTheme="minorHAnsi"/>
          <w:sz w:val="22"/>
          <w:szCs w:val="22"/>
        </w:rPr>
        <w:t xml:space="preserve">the approved </w:t>
      </w:r>
      <w:r w:rsidR="00CD136F">
        <w:rPr>
          <w:rFonts w:asciiTheme="minorHAnsi" w:hAnsiTheme="minorHAnsi"/>
          <w:sz w:val="22"/>
          <w:szCs w:val="22"/>
        </w:rPr>
        <w:t xml:space="preserve">degree (certificate) cohort </w:t>
      </w:r>
      <w:r w:rsidR="00432AF6" w:rsidRPr="000357D5">
        <w:rPr>
          <w:rFonts w:asciiTheme="minorHAnsi" w:hAnsiTheme="minorHAnsi"/>
          <w:sz w:val="22"/>
          <w:szCs w:val="22"/>
        </w:rPr>
        <w:t>program will be permi</w:t>
      </w:r>
      <w:r w:rsidR="000357D5">
        <w:rPr>
          <w:rFonts w:asciiTheme="minorHAnsi" w:hAnsiTheme="minorHAnsi"/>
          <w:sz w:val="22"/>
          <w:szCs w:val="22"/>
        </w:rPr>
        <w:t xml:space="preserve">tted to enroll in the courses. </w:t>
      </w:r>
      <w:r w:rsidR="001E40CB" w:rsidRPr="001224BC">
        <w:rPr>
          <w:rFonts w:asciiTheme="minorHAnsi" w:hAnsiTheme="minorHAnsi"/>
          <w:sz w:val="22"/>
          <w:szCs w:val="22"/>
        </w:rPr>
        <w:br/>
      </w:r>
    </w:p>
    <w:p w:rsidR="001224BC" w:rsidRPr="001224BC" w:rsidRDefault="00432AF6" w:rsidP="00363965">
      <w:pPr>
        <w:pStyle w:val="NormalWeb"/>
        <w:numPr>
          <w:ilvl w:val="0"/>
          <w:numId w:val="2"/>
        </w:numPr>
        <w:rPr>
          <w:rFonts w:asciiTheme="minorHAnsi" w:hAnsiTheme="minorHAnsi"/>
          <w:sz w:val="22"/>
          <w:szCs w:val="22"/>
        </w:rPr>
      </w:pPr>
      <w:r w:rsidRPr="000357D5">
        <w:rPr>
          <w:rFonts w:asciiTheme="minorHAnsi" w:hAnsiTheme="minorHAnsi"/>
          <w:sz w:val="22"/>
          <w:szCs w:val="22"/>
        </w:rPr>
        <w:t xml:space="preserve">Definition of cohort: A cohort is a group of students who are admitted to a specific </w:t>
      </w:r>
      <w:r w:rsidR="000357D5" w:rsidRPr="000357D5">
        <w:rPr>
          <w:rFonts w:asciiTheme="minorHAnsi" w:hAnsiTheme="minorHAnsi"/>
          <w:sz w:val="22"/>
          <w:szCs w:val="22"/>
        </w:rPr>
        <w:t>program;</w:t>
      </w:r>
      <w:r w:rsidRPr="000357D5">
        <w:rPr>
          <w:rFonts w:asciiTheme="minorHAnsi" w:hAnsiTheme="minorHAnsi"/>
          <w:sz w:val="22"/>
          <w:szCs w:val="22"/>
        </w:rPr>
        <w:t xml:space="preserve"> all students must begin the coursework at the same time and continually enroll in the program coursework each term. The cohort’s plan of study is preplanned and communicated to all students when they are admitted.  </w:t>
      </w:r>
    </w:p>
    <w:p w:rsidR="00BA1317" w:rsidRDefault="00E66D97" w:rsidP="009C4F10">
      <w:pPr>
        <w:rPr>
          <w:b/>
        </w:rPr>
      </w:pPr>
      <w:r w:rsidRPr="000357D5">
        <w:rPr>
          <w:b/>
        </w:rPr>
        <w:t>Approval Process</w:t>
      </w:r>
    </w:p>
    <w:p w:rsidR="009C4F10" w:rsidRPr="009C4F10" w:rsidRDefault="008008E7" w:rsidP="009C4F10">
      <w:pPr>
        <w:rPr>
          <w:b/>
        </w:rPr>
      </w:pPr>
      <w:r>
        <w:rPr>
          <w:b/>
        </w:rPr>
        <w:t xml:space="preserve">   </w:t>
      </w:r>
      <w:r w:rsidR="009C4F10">
        <w:rPr>
          <w:b/>
        </w:rPr>
        <w:t>STEP 1</w:t>
      </w:r>
      <w:r>
        <w:rPr>
          <w:b/>
        </w:rPr>
        <w:t>:</w:t>
      </w:r>
    </w:p>
    <w:p w:rsidR="002C5E45" w:rsidRPr="00515854" w:rsidRDefault="009C4F10" w:rsidP="002C5E45">
      <w:pPr>
        <w:pStyle w:val="ListParagraph"/>
        <w:numPr>
          <w:ilvl w:val="0"/>
          <w:numId w:val="1"/>
        </w:numPr>
        <w:ind w:left="720"/>
        <w:rPr>
          <w:sz w:val="18"/>
          <w:szCs w:val="18"/>
        </w:rPr>
      </w:pPr>
      <w:r>
        <w:t>If you are considering a NEW degree/certificate program OR considering offering a program/certificate in a NEW off-campus location your</w:t>
      </w:r>
      <w:r w:rsidR="00811BE0">
        <w:t xml:space="preserve"> first step is to contact Dr. </w:t>
      </w:r>
      <w:r w:rsidR="00A21EF8">
        <w:t>Ani Yazedjian</w:t>
      </w:r>
      <w:r w:rsidR="00811BE0">
        <w:t>, Associate Provost.</w:t>
      </w:r>
      <w:r w:rsidR="002C5E45">
        <w:br/>
      </w:r>
    </w:p>
    <w:p w:rsidR="00E66D97" w:rsidRPr="002C5E45" w:rsidRDefault="00BA1317" w:rsidP="002C5E45">
      <w:pPr>
        <w:pStyle w:val="ListParagraph"/>
        <w:numPr>
          <w:ilvl w:val="0"/>
          <w:numId w:val="1"/>
        </w:numPr>
        <w:ind w:left="720"/>
      </w:pPr>
      <w:r>
        <w:t xml:space="preserve">The following materials </w:t>
      </w:r>
      <w:r w:rsidR="00E66D97" w:rsidRPr="000357D5">
        <w:t xml:space="preserve">must be </w:t>
      </w:r>
      <w:r w:rsidR="00E66D97">
        <w:t>submitted</w:t>
      </w:r>
      <w:r w:rsidR="00E66D97" w:rsidRPr="000357D5">
        <w:t xml:space="preserve"> </w:t>
      </w:r>
      <w:r w:rsidR="00E66D97" w:rsidRPr="002C5E45">
        <w:rPr>
          <w:b/>
          <w:i/>
        </w:rPr>
        <w:t>one year prior</w:t>
      </w:r>
      <w:r w:rsidR="00E66D97" w:rsidRPr="000357D5">
        <w:t xml:space="preserve"> to student admittance int</w:t>
      </w:r>
      <w:r w:rsidR="008008E7">
        <w:t xml:space="preserve">o </w:t>
      </w:r>
      <w:r w:rsidR="002C5E45">
        <w:t xml:space="preserve">program/first course offering: </w:t>
      </w:r>
    </w:p>
    <w:p w:rsidR="009C4F10" w:rsidRDefault="009C4F10" w:rsidP="002C5E45">
      <w:pPr>
        <w:pStyle w:val="NormalWeb"/>
        <w:numPr>
          <w:ilvl w:val="2"/>
          <w:numId w:val="1"/>
        </w:numPr>
        <w:rPr>
          <w:rFonts w:asciiTheme="minorHAnsi" w:hAnsiTheme="minorHAnsi"/>
          <w:sz w:val="22"/>
          <w:szCs w:val="22"/>
        </w:rPr>
      </w:pPr>
      <w:r w:rsidRPr="002C5E45">
        <w:rPr>
          <w:rFonts w:asciiTheme="minorHAnsi" w:hAnsiTheme="minorHAnsi"/>
          <w:sz w:val="22"/>
          <w:szCs w:val="22"/>
        </w:rPr>
        <w:t>Application Cover Sheet (available to download on the FCR page of the Provost’s website)</w:t>
      </w:r>
    </w:p>
    <w:p w:rsidR="00E66D97" w:rsidRPr="0011217C" w:rsidRDefault="00E66D97" w:rsidP="002C5E45">
      <w:pPr>
        <w:pStyle w:val="NormalWeb"/>
        <w:numPr>
          <w:ilvl w:val="2"/>
          <w:numId w:val="1"/>
        </w:numPr>
        <w:rPr>
          <w:rFonts w:asciiTheme="minorHAnsi" w:hAnsiTheme="minorHAnsi"/>
          <w:sz w:val="22"/>
          <w:szCs w:val="22"/>
        </w:rPr>
      </w:pPr>
      <w:r w:rsidRPr="0011217C">
        <w:rPr>
          <w:rFonts w:asciiTheme="minorHAnsi" w:hAnsiTheme="minorHAnsi"/>
          <w:sz w:val="22"/>
          <w:szCs w:val="22"/>
        </w:rPr>
        <w:t>Plan of Study</w:t>
      </w:r>
    </w:p>
    <w:p w:rsidR="00E60B42" w:rsidRDefault="00E66D97" w:rsidP="00E60B42">
      <w:pPr>
        <w:pStyle w:val="NormalWeb"/>
        <w:numPr>
          <w:ilvl w:val="2"/>
          <w:numId w:val="1"/>
        </w:numPr>
        <w:rPr>
          <w:rFonts w:asciiTheme="minorHAnsi" w:hAnsiTheme="minorHAnsi"/>
          <w:sz w:val="22"/>
          <w:szCs w:val="22"/>
        </w:rPr>
      </w:pPr>
      <w:r w:rsidRPr="0011217C">
        <w:rPr>
          <w:rFonts w:asciiTheme="minorHAnsi" w:hAnsiTheme="minorHAnsi"/>
          <w:sz w:val="22"/>
          <w:szCs w:val="22"/>
        </w:rPr>
        <w:t xml:space="preserve">Number of students to be admitted into cohort or program each term. </w:t>
      </w:r>
    </w:p>
    <w:p w:rsidR="00E66D97" w:rsidRPr="00E64E63" w:rsidRDefault="00E66D97" w:rsidP="00E60B42">
      <w:pPr>
        <w:pStyle w:val="NormalWeb"/>
        <w:numPr>
          <w:ilvl w:val="2"/>
          <w:numId w:val="1"/>
        </w:numPr>
      </w:pPr>
      <w:r w:rsidRPr="00E60B42">
        <w:rPr>
          <w:rFonts w:asciiTheme="minorHAnsi" w:hAnsiTheme="minorHAnsi"/>
          <w:sz w:val="22"/>
          <w:szCs w:val="22"/>
        </w:rPr>
        <w:t>Financial plan – utilizing Full-Cost Recovery Mode</w:t>
      </w:r>
      <w:r w:rsidR="00E60B42" w:rsidRPr="00E60B42">
        <w:rPr>
          <w:rFonts w:asciiTheme="minorHAnsi" w:hAnsiTheme="minorHAnsi"/>
          <w:sz w:val="22"/>
          <w:szCs w:val="22"/>
        </w:rPr>
        <w:t>l</w:t>
      </w:r>
      <w:r w:rsidR="00E60B42">
        <w:rPr>
          <w:rFonts w:asciiTheme="minorHAnsi" w:hAnsiTheme="minorHAnsi"/>
          <w:sz w:val="22"/>
          <w:szCs w:val="22"/>
        </w:rPr>
        <w:t>.</w:t>
      </w:r>
      <w:r w:rsidR="00E60B42" w:rsidRPr="00E60B42">
        <w:rPr>
          <w:rFonts w:asciiTheme="minorHAnsi" w:hAnsiTheme="minorHAnsi"/>
          <w:sz w:val="22"/>
          <w:szCs w:val="22"/>
        </w:rPr>
        <w:t xml:space="preserve"> Please include all course/program expenses as allowed by FCR guidelines. This plan should also include a budget for all FCR Model funds that may be returned to the Department/School as a result of successful courses.</w:t>
      </w:r>
    </w:p>
    <w:p w:rsidR="00E66D97" w:rsidRPr="00515854" w:rsidRDefault="00E66D97" w:rsidP="002C5E45">
      <w:pPr>
        <w:pStyle w:val="ListParagraph"/>
        <w:numPr>
          <w:ilvl w:val="2"/>
          <w:numId w:val="1"/>
        </w:numPr>
        <w:rPr>
          <w:sz w:val="18"/>
          <w:szCs w:val="18"/>
        </w:rPr>
      </w:pPr>
      <w:r>
        <w:t>Courses</w:t>
      </w:r>
      <w:r w:rsidRPr="00E60B42">
        <w:rPr>
          <w:i/>
        </w:rPr>
        <w:t xml:space="preserve"> may no</w:t>
      </w:r>
      <w:r w:rsidRPr="009C4F10">
        <w:rPr>
          <w:i/>
        </w:rPr>
        <w:t>t</w:t>
      </w:r>
      <w:r>
        <w:t xml:space="preserve"> be taught on campus.</w:t>
      </w:r>
      <w:r w:rsidR="002C5E45">
        <w:br/>
      </w:r>
      <w:r w:rsidR="002C5E45" w:rsidRPr="00515854">
        <w:br/>
      </w:r>
      <w:r w:rsidR="002C5E45" w:rsidRPr="008008E7">
        <w:t>Application process should originate with the Department Chair/School Director. Application requires Chair/Director and Dean’s signatures and Provost/designee final approval.</w:t>
      </w:r>
      <w:r>
        <w:br/>
      </w:r>
    </w:p>
    <w:p w:rsidR="00E66D97" w:rsidRPr="00515854" w:rsidRDefault="00E66D97" w:rsidP="0075714B">
      <w:pPr>
        <w:pStyle w:val="ListParagraph"/>
        <w:numPr>
          <w:ilvl w:val="0"/>
          <w:numId w:val="1"/>
        </w:numPr>
        <w:ind w:left="720"/>
        <w:rPr>
          <w:sz w:val="18"/>
          <w:szCs w:val="18"/>
        </w:rPr>
      </w:pPr>
      <w:r w:rsidRPr="000357D5">
        <w:t>Even if course budget estimate appears to indicate that the course</w:t>
      </w:r>
      <w:r>
        <w:t>s</w:t>
      </w:r>
      <w:r w:rsidRPr="000357D5">
        <w:t xml:space="preserve"> will cover direct c</w:t>
      </w:r>
      <w:r>
        <w:t xml:space="preserve">ourse expenses, approval of Full-Cost Recovery degree program </w:t>
      </w:r>
      <w:r w:rsidRPr="000357D5">
        <w:t xml:space="preserve">application is not complete until Provost/Provost designee signs off. </w:t>
      </w:r>
      <w:r>
        <w:br/>
      </w:r>
    </w:p>
    <w:p w:rsidR="009C4F10" w:rsidRPr="00515854" w:rsidRDefault="00E66D97" w:rsidP="0075714B">
      <w:pPr>
        <w:pStyle w:val="ListParagraph"/>
        <w:numPr>
          <w:ilvl w:val="0"/>
          <w:numId w:val="1"/>
        </w:numPr>
        <w:ind w:left="720"/>
        <w:rPr>
          <w:sz w:val="18"/>
          <w:szCs w:val="18"/>
        </w:rPr>
      </w:pPr>
      <w:r>
        <w:t xml:space="preserve">Provost will determine final approval. </w:t>
      </w:r>
      <w:r w:rsidRPr="000357D5">
        <w:t xml:space="preserve"> </w:t>
      </w:r>
      <w:r w:rsidR="009C4F10">
        <w:t>If approval is granted the Provost’s Office will notify you and schedul</w:t>
      </w:r>
      <w:r w:rsidR="00515854">
        <w:t>e a follow-up planning meeting.</w:t>
      </w:r>
      <w:r w:rsidR="00515854">
        <w:br/>
      </w:r>
    </w:p>
    <w:p w:rsidR="001224BC" w:rsidRDefault="008008E7" w:rsidP="00E60B42">
      <w:pPr>
        <w:pStyle w:val="ListParagraph"/>
        <w:ind w:left="0"/>
        <w:rPr>
          <w:b/>
        </w:rPr>
      </w:pPr>
      <w:r>
        <w:rPr>
          <w:b/>
        </w:rPr>
        <w:lastRenderedPageBreak/>
        <w:t xml:space="preserve">   </w:t>
      </w:r>
      <w:r w:rsidR="009C4F10" w:rsidRPr="009C4F10">
        <w:rPr>
          <w:b/>
        </w:rPr>
        <w:t>STEP 2</w:t>
      </w:r>
      <w:r>
        <w:rPr>
          <w:b/>
        </w:rPr>
        <w:t xml:space="preserve">:  </w:t>
      </w:r>
      <w:r>
        <w:rPr>
          <w:b/>
        </w:rPr>
        <w:tab/>
      </w:r>
      <w:r w:rsidR="009C4F10">
        <w:t xml:space="preserve">If approval is granted, individual course applications must be submitted at least six weeks prior to the </w:t>
      </w:r>
      <w:r>
        <w:tab/>
      </w:r>
      <w:r>
        <w:tab/>
      </w:r>
      <w:r>
        <w:tab/>
      </w:r>
      <w:r w:rsidR="009C4F10">
        <w:t xml:space="preserve">start of </w:t>
      </w:r>
      <w:r>
        <w:t>t</w:t>
      </w:r>
      <w:r w:rsidR="009C4F10">
        <w:t>he semester.</w:t>
      </w:r>
      <w:r w:rsidR="00515854">
        <w:br/>
      </w:r>
      <w:r w:rsidR="009C4F10">
        <w:br/>
      </w:r>
      <w:r w:rsidR="001224BC" w:rsidRPr="001224BC">
        <w:rPr>
          <w:b/>
        </w:rPr>
        <w:t>Student Admission and Registration Process</w:t>
      </w:r>
    </w:p>
    <w:p w:rsidR="00E66D97" w:rsidRDefault="001224BC" w:rsidP="001224BC">
      <w:pPr>
        <w:pStyle w:val="NormalWeb"/>
        <w:numPr>
          <w:ilvl w:val="0"/>
          <w:numId w:val="2"/>
        </w:numPr>
        <w:rPr>
          <w:rFonts w:asciiTheme="minorHAnsi" w:hAnsiTheme="minorHAnsi"/>
          <w:sz w:val="22"/>
          <w:szCs w:val="22"/>
        </w:rPr>
      </w:pPr>
      <w:r w:rsidRPr="00E66D97">
        <w:rPr>
          <w:rFonts w:asciiTheme="minorHAnsi" w:hAnsiTheme="minorHAnsi"/>
          <w:sz w:val="22"/>
          <w:szCs w:val="22"/>
        </w:rPr>
        <w:t xml:space="preserve">All students must be admitted to the University and </w:t>
      </w:r>
      <w:r w:rsidRPr="00514292">
        <w:rPr>
          <w:rFonts w:asciiTheme="minorHAnsi" w:hAnsiTheme="minorHAnsi"/>
          <w:i/>
          <w:sz w:val="22"/>
          <w:szCs w:val="22"/>
        </w:rPr>
        <w:t xml:space="preserve">to the degree </w:t>
      </w:r>
      <w:r w:rsidR="00652784" w:rsidRPr="00514292">
        <w:rPr>
          <w:rFonts w:asciiTheme="minorHAnsi" w:hAnsiTheme="minorHAnsi"/>
          <w:i/>
          <w:sz w:val="22"/>
          <w:szCs w:val="22"/>
        </w:rPr>
        <w:t xml:space="preserve">(certificate) </w:t>
      </w:r>
      <w:r w:rsidRPr="00514292">
        <w:rPr>
          <w:rFonts w:asciiTheme="minorHAnsi" w:hAnsiTheme="minorHAnsi"/>
          <w:i/>
          <w:sz w:val="22"/>
          <w:szCs w:val="22"/>
        </w:rPr>
        <w:t>program</w:t>
      </w:r>
      <w:r w:rsidRPr="00E66D97">
        <w:rPr>
          <w:rFonts w:asciiTheme="minorHAnsi" w:hAnsiTheme="minorHAnsi"/>
          <w:sz w:val="22"/>
          <w:szCs w:val="22"/>
        </w:rPr>
        <w:t xml:space="preserve"> by </w:t>
      </w:r>
      <w:proofErr w:type="gramStart"/>
      <w:r w:rsidRPr="00E66D97">
        <w:rPr>
          <w:rFonts w:asciiTheme="minorHAnsi" w:hAnsiTheme="minorHAnsi"/>
          <w:sz w:val="22"/>
          <w:szCs w:val="22"/>
        </w:rPr>
        <w:t>submitting an a</w:t>
      </w:r>
      <w:r w:rsidR="006630D7" w:rsidRPr="00E66D97">
        <w:rPr>
          <w:rFonts w:asciiTheme="minorHAnsi" w:hAnsiTheme="minorHAnsi"/>
          <w:sz w:val="22"/>
          <w:szCs w:val="22"/>
        </w:rPr>
        <w:t>pplication</w:t>
      </w:r>
      <w:proofErr w:type="gramEnd"/>
      <w:r w:rsidR="006630D7" w:rsidRPr="00E66D97">
        <w:rPr>
          <w:rFonts w:asciiTheme="minorHAnsi" w:hAnsiTheme="minorHAnsi"/>
          <w:sz w:val="22"/>
          <w:szCs w:val="22"/>
        </w:rPr>
        <w:t xml:space="preserve"> for admission </w:t>
      </w:r>
      <w:r w:rsidRPr="00E66D97">
        <w:rPr>
          <w:rFonts w:asciiTheme="minorHAnsi" w:hAnsiTheme="minorHAnsi"/>
          <w:sz w:val="22"/>
          <w:szCs w:val="22"/>
        </w:rPr>
        <w:t xml:space="preserve">using the </w:t>
      </w:r>
      <w:r w:rsidR="00C44C6C">
        <w:rPr>
          <w:rFonts w:asciiTheme="minorHAnsi" w:hAnsiTheme="minorHAnsi"/>
          <w:sz w:val="22"/>
          <w:szCs w:val="22"/>
        </w:rPr>
        <w:t xml:space="preserve">University’s </w:t>
      </w:r>
      <w:r w:rsidRPr="00E66D97">
        <w:rPr>
          <w:rFonts w:asciiTheme="minorHAnsi" w:hAnsiTheme="minorHAnsi"/>
          <w:sz w:val="22"/>
          <w:szCs w:val="22"/>
        </w:rPr>
        <w:t xml:space="preserve">online application process. </w:t>
      </w:r>
      <w:r w:rsidR="00E66D97">
        <w:rPr>
          <w:rFonts w:asciiTheme="minorHAnsi" w:hAnsiTheme="minorHAnsi"/>
          <w:sz w:val="22"/>
          <w:szCs w:val="22"/>
        </w:rPr>
        <w:br/>
      </w:r>
    </w:p>
    <w:p w:rsidR="001224BC" w:rsidRPr="00E66D97" w:rsidRDefault="001224BC" w:rsidP="001224BC">
      <w:pPr>
        <w:pStyle w:val="NormalWeb"/>
        <w:numPr>
          <w:ilvl w:val="0"/>
          <w:numId w:val="2"/>
        </w:numPr>
        <w:rPr>
          <w:rFonts w:asciiTheme="minorHAnsi" w:hAnsiTheme="minorHAnsi"/>
          <w:sz w:val="22"/>
          <w:szCs w:val="22"/>
        </w:rPr>
      </w:pPr>
      <w:r w:rsidRPr="00E66D97">
        <w:rPr>
          <w:rFonts w:asciiTheme="minorHAnsi" w:hAnsiTheme="minorHAnsi"/>
          <w:sz w:val="22"/>
          <w:szCs w:val="22"/>
        </w:rPr>
        <w:t xml:space="preserve">FCR courses must </w:t>
      </w:r>
      <w:r w:rsidR="00652784">
        <w:rPr>
          <w:rFonts w:asciiTheme="minorHAnsi" w:hAnsiTheme="minorHAnsi"/>
          <w:sz w:val="22"/>
          <w:szCs w:val="22"/>
        </w:rPr>
        <w:t>have a c</w:t>
      </w:r>
      <w:r w:rsidRPr="00E66D97">
        <w:rPr>
          <w:rFonts w:asciiTheme="minorHAnsi" w:hAnsiTheme="minorHAnsi"/>
          <w:sz w:val="22"/>
          <w:szCs w:val="22"/>
        </w:rPr>
        <w:t xml:space="preserve">ourse enrollment maximum </w:t>
      </w:r>
      <w:r w:rsidR="00652784">
        <w:rPr>
          <w:rFonts w:asciiTheme="minorHAnsi" w:hAnsiTheme="minorHAnsi"/>
          <w:sz w:val="22"/>
          <w:szCs w:val="22"/>
        </w:rPr>
        <w:t>of</w:t>
      </w:r>
      <w:r w:rsidRPr="00E66D97">
        <w:rPr>
          <w:rFonts w:asciiTheme="minorHAnsi" w:hAnsiTheme="minorHAnsi"/>
          <w:sz w:val="22"/>
          <w:szCs w:val="22"/>
        </w:rPr>
        <w:t xml:space="preserve"> ‘0’</w:t>
      </w:r>
      <w:r w:rsidR="00BD6731">
        <w:rPr>
          <w:rFonts w:asciiTheme="minorHAnsi" w:hAnsiTheme="minorHAnsi"/>
          <w:sz w:val="22"/>
          <w:szCs w:val="22"/>
        </w:rPr>
        <w:t>. D</w:t>
      </w:r>
      <w:r w:rsidR="00A232AF">
        <w:rPr>
          <w:rFonts w:asciiTheme="minorHAnsi" w:hAnsiTheme="minorHAnsi"/>
          <w:sz w:val="22"/>
          <w:szCs w:val="22"/>
        </w:rPr>
        <w:t>epartments/S</w:t>
      </w:r>
      <w:r w:rsidRPr="00E66D97">
        <w:rPr>
          <w:rFonts w:asciiTheme="minorHAnsi" w:hAnsiTheme="minorHAnsi"/>
          <w:sz w:val="22"/>
          <w:szCs w:val="22"/>
        </w:rPr>
        <w:t>chools must give permits for stud</w:t>
      </w:r>
      <w:r w:rsidR="00BD6731">
        <w:rPr>
          <w:rFonts w:asciiTheme="minorHAnsi" w:hAnsiTheme="minorHAnsi"/>
          <w:sz w:val="22"/>
          <w:szCs w:val="22"/>
        </w:rPr>
        <w:t>ents who are eligible to enroll.</w:t>
      </w:r>
      <w:r w:rsidRPr="00E66D97">
        <w:rPr>
          <w:rFonts w:asciiTheme="minorHAnsi" w:hAnsiTheme="minorHAnsi"/>
          <w:sz w:val="22"/>
          <w:szCs w:val="22"/>
        </w:rPr>
        <w:t xml:space="preserve"> </w:t>
      </w:r>
      <w:r w:rsidRPr="00E66D97">
        <w:rPr>
          <w:rFonts w:asciiTheme="minorHAnsi" w:hAnsiTheme="minorHAnsi"/>
          <w:sz w:val="22"/>
          <w:szCs w:val="22"/>
        </w:rPr>
        <w:br/>
      </w:r>
    </w:p>
    <w:p w:rsidR="00C44C6C" w:rsidRPr="00D96390" w:rsidRDefault="00D96390" w:rsidP="00A6088E">
      <w:pPr>
        <w:pStyle w:val="NormalWeb"/>
        <w:numPr>
          <w:ilvl w:val="0"/>
          <w:numId w:val="2"/>
        </w:numPr>
        <w:rPr>
          <w:rFonts w:ascii="Calibri" w:hAnsi="Calibri"/>
          <w:sz w:val="22"/>
          <w:szCs w:val="22"/>
        </w:rPr>
      </w:pPr>
      <w:r>
        <w:rPr>
          <w:rFonts w:ascii="Calibri" w:hAnsi="Calibri"/>
          <w:sz w:val="22"/>
          <w:szCs w:val="22"/>
        </w:rPr>
        <w:t xml:space="preserve">Once admitted, students will need </w:t>
      </w:r>
      <w:r w:rsidR="00A232AF">
        <w:rPr>
          <w:rFonts w:ascii="Calibri" w:hAnsi="Calibri"/>
          <w:sz w:val="22"/>
          <w:szCs w:val="22"/>
        </w:rPr>
        <w:t>to obtain an override from the D</w:t>
      </w:r>
      <w:r>
        <w:rPr>
          <w:rFonts w:ascii="Calibri" w:hAnsi="Calibri"/>
          <w:sz w:val="22"/>
          <w:szCs w:val="22"/>
        </w:rPr>
        <w:t>epartment</w:t>
      </w:r>
      <w:r w:rsidR="00A232AF">
        <w:rPr>
          <w:rFonts w:ascii="Calibri" w:hAnsi="Calibri"/>
          <w:sz w:val="22"/>
          <w:szCs w:val="22"/>
        </w:rPr>
        <w:t>/School</w:t>
      </w:r>
      <w:r>
        <w:rPr>
          <w:rFonts w:ascii="Calibri" w:hAnsi="Calibri"/>
          <w:sz w:val="22"/>
          <w:szCs w:val="22"/>
        </w:rPr>
        <w:t xml:space="preserve"> and register themselves in the course during open registration times</w:t>
      </w:r>
      <w:r w:rsidR="0040694E">
        <w:rPr>
          <w:rFonts w:ascii="Calibri" w:hAnsi="Calibri"/>
          <w:sz w:val="22"/>
          <w:szCs w:val="22"/>
        </w:rPr>
        <w:t xml:space="preserve"> using the </w:t>
      </w:r>
      <w:proofErr w:type="spellStart"/>
      <w:r w:rsidR="0040694E">
        <w:rPr>
          <w:rFonts w:ascii="Calibri" w:hAnsi="Calibri"/>
          <w:sz w:val="22"/>
          <w:szCs w:val="22"/>
        </w:rPr>
        <w:t>iCampus</w:t>
      </w:r>
      <w:proofErr w:type="spellEnd"/>
      <w:r w:rsidR="0040694E">
        <w:rPr>
          <w:rFonts w:ascii="Calibri" w:hAnsi="Calibri"/>
          <w:sz w:val="22"/>
          <w:szCs w:val="22"/>
        </w:rPr>
        <w:t xml:space="preserve"> Portal</w:t>
      </w:r>
      <w:r>
        <w:rPr>
          <w:rFonts w:ascii="Calibri" w:hAnsi="Calibri"/>
          <w:sz w:val="22"/>
          <w:szCs w:val="22"/>
        </w:rPr>
        <w:t xml:space="preserve">. Students should check the Office of the Registrar website for registration periods. </w:t>
      </w:r>
    </w:p>
    <w:p w:rsidR="00A6088E" w:rsidRPr="00904C80" w:rsidRDefault="00A6088E" w:rsidP="00A6088E">
      <w:pPr>
        <w:pStyle w:val="NormalWeb"/>
        <w:rPr>
          <w:rFonts w:asciiTheme="minorHAnsi" w:hAnsiTheme="minorHAnsi"/>
          <w:b/>
          <w:sz w:val="22"/>
          <w:szCs w:val="22"/>
        </w:rPr>
      </w:pPr>
      <w:r w:rsidRPr="00904C80">
        <w:rPr>
          <w:rFonts w:asciiTheme="minorHAnsi" w:hAnsiTheme="minorHAnsi"/>
          <w:b/>
          <w:sz w:val="22"/>
          <w:szCs w:val="22"/>
        </w:rPr>
        <w:t>Guidelines</w:t>
      </w:r>
    </w:p>
    <w:p w:rsidR="00A6088E" w:rsidRPr="004D7A17" w:rsidRDefault="00A6088E" w:rsidP="004D7A17">
      <w:pPr>
        <w:ind w:left="720"/>
        <w:rPr>
          <w:b/>
        </w:rPr>
      </w:pPr>
      <w:r w:rsidRPr="004D7A17">
        <w:rPr>
          <w:b/>
        </w:rPr>
        <w:t>Instructor Salary</w:t>
      </w:r>
    </w:p>
    <w:p w:rsidR="00217123" w:rsidRDefault="00217123" w:rsidP="004D7A17">
      <w:pPr>
        <w:pStyle w:val="ListParagraph"/>
        <w:numPr>
          <w:ilvl w:val="0"/>
          <w:numId w:val="8"/>
        </w:numPr>
        <w:rPr>
          <w:b/>
        </w:rPr>
      </w:pPr>
      <w:r>
        <w:t xml:space="preserve">Reasonable and customary Non-Tenure Track rates should be used. </w:t>
      </w:r>
    </w:p>
    <w:p w:rsidR="002E6DA2" w:rsidRPr="002E6DA2" w:rsidRDefault="00811BE0" w:rsidP="004D7A17">
      <w:pPr>
        <w:pStyle w:val="ListParagraph"/>
        <w:numPr>
          <w:ilvl w:val="0"/>
          <w:numId w:val="8"/>
        </w:numPr>
        <w:rPr>
          <w:rFonts w:cstheme="minorHAnsi"/>
          <w:b/>
        </w:rPr>
      </w:pPr>
      <w:r>
        <w:rPr>
          <w:rFonts w:cstheme="minorHAnsi"/>
        </w:rPr>
        <w:t>The instructor salary amount is based on the replacement instruction costs unless the course is being offered during Summer Session.  Tenure-Track faculty will be limited to only one course per academic year, excluding Summer Session.  Tenure-Track faculty will not be eligible to earn overload for FCR courses.</w:t>
      </w:r>
    </w:p>
    <w:p w:rsidR="002E6DA2" w:rsidRPr="005033F1" w:rsidRDefault="002E6DA2" w:rsidP="004D7A17">
      <w:pPr>
        <w:ind w:firstLine="720"/>
        <w:rPr>
          <w:b/>
        </w:rPr>
      </w:pPr>
      <w:r w:rsidRPr="005033F1">
        <w:rPr>
          <w:b/>
        </w:rPr>
        <w:t>Return of Remaining Funds</w:t>
      </w:r>
    </w:p>
    <w:p w:rsidR="002E6DA2" w:rsidRPr="005033F1" w:rsidRDefault="002E6DA2" w:rsidP="002E6DA2">
      <w:pPr>
        <w:pStyle w:val="ListParagraph"/>
        <w:numPr>
          <w:ilvl w:val="0"/>
          <w:numId w:val="10"/>
        </w:numPr>
      </w:pPr>
      <w:r w:rsidRPr="005033F1">
        <w:t xml:space="preserve">The Department/School has the opportunity to receive </w:t>
      </w:r>
      <w:r w:rsidRPr="005033F1">
        <w:rPr>
          <w:b/>
          <w:i/>
        </w:rPr>
        <w:t>up to</w:t>
      </w:r>
      <w:r w:rsidRPr="005033F1">
        <w:t xml:space="preserve"> 70% of remaining funds AFTER all direct expenses for the course have been paid. The following guidelines apply:</w:t>
      </w:r>
    </w:p>
    <w:p w:rsidR="002E6DA2" w:rsidRPr="005033F1" w:rsidRDefault="002E6DA2" w:rsidP="002E6DA2">
      <w:pPr>
        <w:pStyle w:val="ListParagraph"/>
        <w:numPr>
          <w:ilvl w:val="0"/>
          <w:numId w:val="9"/>
        </w:numPr>
      </w:pPr>
      <w:r w:rsidRPr="005033F1">
        <w:t>If enough tuition is generated to cover the direct expenses o</w:t>
      </w:r>
      <w:r w:rsidR="00A232AF">
        <w:t>f the course, up to 70% of the t</w:t>
      </w:r>
      <w:r w:rsidRPr="005033F1">
        <w:t>uition generated will be transferred to the Department/School.</w:t>
      </w:r>
    </w:p>
    <w:p w:rsidR="002E6DA2" w:rsidRDefault="002E6DA2" w:rsidP="002E6DA2">
      <w:pPr>
        <w:pStyle w:val="ListParagraph"/>
        <w:numPr>
          <w:ilvl w:val="0"/>
          <w:numId w:val="9"/>
        </w:numPr>
      </w:pPr>
      <w:r w:rsidRPr="005033F1">
        <w:t>If the tuition generated does not cover the course deficit the Department/School is responsible for the remaining balance.</w:t>
      </w:r>
    </w:p>
    <w:p w:rsidR="002E6DA2" w:rsidRDefault="002E6DA2" w:rsidP="002E6DA2">
      <w:pPr>
        <w:pStyle w:val="ListParagraph"/>
        <w:numPr>
          <w:ilvl w:val="0"/>
          <w:numId w:val="9"/>
        </w:numPr>
      </w:pPr>
      <w:r w:rsidRPr="005033F1">
        <w:t>The transfer will be made AFTER th</w:t>
      </w:r>
      <w:r>
        <w:t>e course has been completed</w:t>
      </w:r>
      <w:r w:rsidR="00A232AF">
        <w:t>.</w:t>
      </w:r>
    </w:p>
    <w:p w:rsidR="00A6088E" w:rsidRPr="004D7A17" w:rsidRDefault="00A6088E" w:rsidP="004D7A17">
      <w:pPr>
        <w:ind w:firstLine="720"/>
        <w:rPr>
          <w:b/>
        </w:rPr>
      </w:pPr>
      <w:r w:rsidRPr="004D7A17">
        <w:rPr>
          <w:b/>
        </w:rPr>
        <w:t xml:space="preserve">Online Courses  </w:t>
      </w:r>
    </w:p>
    <w:p w:rsidR="00A6088E" w:rsidRDefault="00C44C6C" w:rsidP="00A6088E">
      <w:pPr>
        <w:pStyle w:val="ListParagraph"/>
        <w:ind w:left="1080"/>
      </w:pPr>
      <w:r>
        <w:t>FCR c</w:t>
      </w:r>
      <w:r w:rsidR="00A6088E" w:rsidRPr="000357D5">
        <w:t>ourses be</w:t>
      </w:r>
      <w:r>
        <w:t xml:space="preserve">ing delivered </w:t>
      </w:r>
      <w:r w:rsidR="00A6088E" w:rsidRPr="000357D5">
        <w:t xml:space="preserve">online should not exceed </w:t>
      </w:r>
      <w:r w:rsidR="00D62BBE">
        <w:t xml:space="preserve">the </w:t>
      </w:r>
      <w:r w:rsidR="00A6088E" w:rsidRPr="000357D5">
        <w:t xml:space="preserve">course </w:t>
      </w:r>
      <w:r w:rsidR="00D62BBE">
        <w:t>maximum</w:t>
      </w:r>
      <w:r w:rsidR="00A6088E" w:rsidRPr="000357D5">
        <w:t xml:space="preserve"> of the same course that is taught face-to-face. If there is no </w:t>
      </w:r>
      <w:r w:rsidR="00A6088E">
        <w:t xml:space="preserve">course </w:t>
      </w:r>
      <w:r w:rsidR="00A6088E" w:rsidRPr="000357D5">
        <w:t>equivalent then an average of the department</w:t>
      </w:r>
      <w:r w:rsidR="00A6088E">
        <w:t>/school</w:t>
      </w:r>
      <w:r w:rsidR="00A6088E" w:rsidRPr="000357D5">
        <w:t xml:space="preserve">’s same level of course (200, 300 level etc.) should be used as the </w:t>
      </w:r>
      <w:r w:rsidR="00D62BBE">
        <w:t xml:space="preserve">course </w:t>
      </w:r>
      <w:r w:rsidR="00A6088E" w:rsidRPr="000357D5">
        <w:t xml:space="preserve">maximum.  </w:t>
      </w:r>
    </w:p>
    <w:p w:rsidR="00A6088E" w:rsidRPr="000357D5" w:rsidRDefault="00A6088E" w:rsidP="00A6088E">
      <w:pPr>
        <w:pStyle w:val="ListParagraph"/>
        <w:ind w:left="1080"/>
      </w:pPr>
    </w:p>
    <w:p w:rsidR="00A6088E" w:rsidRPr="00904C80" w:rsidRDefault="00A6088E" w:rsidP="004D7A17">
      <w:pPr>
        <w:pStyle w:val="ListParagraph"/>
        <w:rPr>
          <w:b/>
        </w:rPr>
      </w:pPr>
      <w:r w:rsidRPr="00904C80">
        <w:rPr>
          <w:b/>
        </w:rPr>
        <w:t>Other</w:t>
      </w:r>
    </w:p>
    <w:p w:rsidR="008B3FB3" w:rsidRDefault="00A232AF" w:rsidP="00E60B42">
      <w:pPr>
        <w:pStyle w:val="ListParagraph"/>
        <w:ind w:left="1080"/>
        <w:rPr>
          <w:b/>
        </w:rPr>
      </w:pPr>
      <w:r>
        <w:t>A Department/S</w:t>
      </w:r>
      <w:r w:rsidR="00A6088E" w:rsidRPr="000357D5">
        <w:t xml:space="preserve">chool may choose to partner with an agency to </w:t>
      </w:r>
      <w:proofErr w:type="gramStart"/>
      <w:r w:rsidR="00A6088E" w:rsidRPr="000357D5">
        <w:t>provide assistance</w:t>
      </w:r>
      <w:proofErr w:type="gramEnd"/>
      <w:r w:rsidR="00A6088E" w:rsidRPr="000357D5">
        <w:t xml:space="preserve"> with marketing a course, communicating with students etc. Agency fees should be identified on the application and included in the direct course expenses. Agency fees will be paid after the semester is complete. </w:t>
      </w:r>
    </w:p>
    <w:p w:rsidR="00A6088E" w:rsidRDefault="00A6088E" w:rsidP="00A6088E">
      <w:pPr>
        <w:rPr>
          <w:b/>
        </w:rPr>
      </w:pPr>
    </w:p>
    <w:p w:rsidR="0099233F" w:rsidRDefault="0099233F" w:rsidP="0099233F">
      <w:pPr>
        <w:pStyle w:val="ListParagraph"/>
      </w:pPr>
    </w:p>
    <w:sectPr w:rsidR="0099233F" w:rsidSect="000357D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19F" w:rsidRDefault="00DE719F" w:rsidP="00F9192E">
      <w:pPr>
        <w:spacing w:after="0" w:line="240" w:lineRule="auto"/>
      </w:pPr>
      <w:r>
        <w:separator/>
      </w:r>
    </w:p>
  </w:endnote>
  <w:endnote w:type="continuationSeparator" w:id="0">
    <w:p w:rsidR="00DE719F" w:rsidRDefault="00DE719F" w:rsidP="00F9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9F" w:rsidRPr="00CD315B" w:rsidRDefault="00DE719F">
    <w:pPr>
      <w:pStyle w:val="Footer"/>
      <w:rPr>
        <w:sz w:val="18"/>
        <w:szCs w:val="18"/>
      </w:rPr>
    </w:pPr>
    <w:r w:rsidRPr="00CD315B">
      <w:rPr>
        <w:sz w:val="18"/>
        <w:szCs w:val="18"/>
      </w:rPr>
      <w:t>Office of the Provost</w:t>
    </w:r>
    <w:r w:rsidRPr="00CD315B">
      <w:rPr>
        <w:sz w:val="18"/>
        <w:szCs w:val="18"/>
      </w:rPr>
      <w:ptab w:relativeTo="margin" w:alignment="center" w:leader="none"/>
    </w:r>
    <w:r w:rsidR="00CD619B" w:rsidRPr="00CD315B">
      <w:rPr>
        <w:sz w:val="18"/>
        <w:szCs w:val="18"/>
      </w:rPr>
      <w:fldChar w:fldCharType="begin"/>
    </w:r>
    <w:r w:rsidR="00CE2EDB" w:rsidRPr="00CD315B">
      <w:rPr>
        <w:sz w:val="18"/>
        <w:szCs w:val="18"/>
      </w:rPr>
      <w:instrText xml:space="preserve"> PAGE   \* MERGEFORMAT </w:instrText>
    </w:r>
    <w:r w:rsidR="00CD619B" w:rsidRPr="00CD315B">
      <w:rPr>
        <w:sz w:val="18"/>
        <w:szCs w:val="18"/>
      </w:rPr>
      <w:fldChar w:fldCharType="separate"/>
    </w:r>
    <w:r w:rsidR="000408D1">
      <w:rPr>
        <w:noProof/>
        <w:sz w:val="18"/>
        <w:szCs w:val="18"/>
      </w:rPr>
      <w:t>2</w:t>
    </w:r>
    <w:r w:rsidR="00CD619B" w:rsidRPr="00CD315B">
      <w:rPr>
        <w:sz w:val="18"/>
        <w:szCs w:val="18"/>
      </w:rPr>
      <w:fldChar w:fldCharType="end"/>
    </w:r>
    <w:r w:rsidRPr="00CD315B">
      <w:rPr>
        <w:sz w:val="18"/>
        <w:szCs w:val="18"/>
      </w:rPr>
      <w:ptab w:relativeTo="margin" w:alignment="right" w:leader="none"/>
    </w:r>
    <w:r w:rsidR="00CD619B" w:rsidRPr="00CD315B">
      <w:rPr>
        <w:sz w:val="18"/>
        <w:szCs w:val="18"/>
      </w:rPr>
      <w:fldChar w:fldCharType="begin"/>
    </w:r>
    <w:r w:rsidR="00CE2EDB" w:rsidRPr="00CD315B">
      <w:rPr>
        <w:sz w:val="18"/>
        <w:szCs w:val="18"/>
      </w:rPr>
      <w:instrText xml:space="preserve"> DATE \@ "M/d/yy" </w:instrText>
    </w:r>
    <w:r w:rsidR="00CD619B" w:rsidRPr="00CD315B">
      <w:rPr>
        <w:sz w:val="18"/>
        <w:szCs w:val="18"/>
      </w:rPr>
      <w:fldChar w:fldCharType="separate"/>
    </w:r>
    <w:r w:rsidR="003650AC">
      <w:rPr>
        <w:noProof/>
        <w:sz w:val="18"/>
        <w:szCs w:val="18"/>
      </w:rPr>
      <w:t>7/10/19</w:t>
    </w:r>
    <w:r w:rsidR="00CD619B" w:rsidRPr="00CD315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19F" w:rsidRDefault="00DE719F" w:rsidP="00F9192E">
      <w:pPr>
        <w:spacing w:after="0" w:line="240" w:lineRule="auto"/>
      </w:pPr>
      <w:r>
        <w:separator/>
      </w:r>
    </w:p>
  </w:footnote>
  <w:footnote w:type="continuationSeparator" w:id="0">
    <w:p w:rsidR="00DE719F" w:rsidRDefault="00DE719F" w:rsidP="00F91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41A"/>
    <w:multiLevelType w:val="hybridMultilevel"/>
    <w:tmpl w:val="C32E6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581726"/>
    <w:multiLevelType w:val="hybridMultilevel"/>
    <w:tmpl w:val="12C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5268"/>
    <w:multiLevelType w:val="hybridMultilevel"/>
    <w:tmpl w:val="78886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EF2244"/>
    <w:multiLevelType w:val="hybridMultilevel"/>
    <w:tmpl w:val="9C062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AB5090"/>
    <w:multiLevelType w:val="hybridMultilevel"/>
    <w:tmpl w:val="E15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71867"/>
    <w:multiLevelType w:val="hybridMultilevel"/>
    <w:tmpl w:val="C25E01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F67512"/>
    <w:multiLevelType w:val="hybridMultilevel"/>
    <w:tmpl w:val="2710DC6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69A26FA"/>
    <w:multiLevelType w:val="hybridMultilevel"/>
    <w:tmpl w:val="D834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B2251"/>
    <w:multiLevelType w:val="hybridMultilevel"/>
    <w:tmpl w:val="E2EA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A42FC"/>
    <w:multiLevelType w:val="hybridMultilevel"/>
    <w:tmpl w:val="FF4C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3"/>
  </w:num>
  <w:num w:numId="6">
    <w:abstractNumId w:val="1"/>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o:colormru v:ext="edit" colors="#79a6dd"/>
      <o:colormenu v:ext="edit" fillcolor="none [1941]" strokecolor="none [27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4F"/>
    <w:rsid w:val="000357D5"/>
    <w:rsid w:val="000408D1"/>
    <w:rsid w:val="00042364"/>
    <w:rsid w:val="00082A75"/>
    <w:rsid w:val="00086DB2"/>
    <w:rsid w:val="0011217C"/>
    <w:rsid w:val="00112551"/>
    <w:rsid w:val="001224BC"/>
    <w:rsid w:val="001D7FD5"/>
    <w:rsid w:val="001E40CB"/>
    <w:rsid w:val="00217123"/>
    <w:rsid w:val="00293221"/>
    <w:rsid w:val="002B5771"/>
    <w:rsid w:val="002C5E45"/>
    <w:rsid w:val="002E6DA2"/>
    <w:rsid w:val="0030652F"/>
    <w:rsid w:val="00363965"/>
    <w:rsid w:val="003650AC"/>
    <w:rsid w:val="00384958"/>
    <w:rsid w:val="003A50B4"/>
    <w:rsid w:val="0040694E"/>
    <w:rsid w:val="00432AF6"/>
    <w:rsid w:val="00482055"/>
    <w:rsid w:val="004D7A17"/>
    <w:rsid w:val="00514292"/>
    <w:rsid w:val="00515854"/>
    <w:rsid w:val="00651771"/>
    <w:rsid w:val="00652784"/>
    <w:rsid w:val="006553A9"/>
    <w:rsid w:val="006630D7"/>
    <w:rsid w:val="006A6540"/>
    <w:rsid w:val="006C54B0"/>
    <w:rsid w:val="00703F7B"/>
    <w:rsid w:val="0075714B"/>
    <w:rsid w:val="007C7A6D"/>
    <w:rsid w:val="008008E7"/>
    <w:rsid w:val="00811BE0"/>
    <w:rsid w:val="008175E7"/>
    <w:rsid w:val="00836EBA"/>
    <w:rsid w:val="00863B26"/>
    <w:rsid w:val="008A3676"/>
    <w:rsid w:val="008A7FEF"/>
    <w:rsid w:val="008B3FB3"/>
    <w:rsid w:val="008D70BC"/>
    <w:rsid w:val="008F4A99"/>
    <w:rsid w:val="0094482E"/>
    <w:rsid w:val="00961A32"/>
    <w:rsid w:val="0099233F"/>
    <w:rsid w:val="009B7831"/>
    <w:rsid w:val="009C4F10"/>
    <w:rsid w:val="00A13337"/>
    <w:rsid w:val="00A21EF8"/>
    <w:rsid w:val="00A232AF"/>
    <w:rsid w:val="00A33A2C"/>
    <w:rsid w:val="00A6088E"/>
    <w:rsid w:val="00A76447"/>
    <w:rsid w:val="00A76EE5"/>
    <w:rsid w:val="00AC52FA"/>
    <w:rsid w:val="00AD0A96"/>
    <w:rsid w:val="00B10068"/>
    <w:rsid w:val="00BA1317"/>
    <w:rsid w:val="00BB10E2"/>
    <w:rsid w:val="00BD3695"/>
    <w:rsid w:val="00BD3E30"/>
    <w:rsid w:val="00BD6731"/>
    <w:rsid w:val="00C12556"/>
    <w:rsid w:val="00C3654F"/>
    <w:rsid w:val="00C44C6C"/>
    <w:rsid w:val="00CC41CE"/>
    <w:rsid w:val="00CD136F"/>
    <w:rsid w:val="00CD315B"/>
    <w:rsid w:val="00CD619B"/>
    <w:rsid w:val="00CE2EDB"/>
    <w:rsid w:val="00D13D92"/>
    <w:rsid w:val="00D62BBE"/>
    <w:rsid w:val="00D769AC"/>
    <w:rsid w:val="00D8588C"/>
    <w:rsid w:val="00D875ED"/>
    <w:rsid w:val="00D947AC"/>
    <w:rsid w:val="00D96390"/>
    <w:rsid w:val="00DE719F"/>
    <w:rsid w:val="00E00BA6"/>
    <w:rsid w:val="00E32251"/>
    <w:rsid w:val="00E60B42"/>
    <w:rsid w:val="00E64E63"/>
    <w:rsid w:val="00E66D97"/>
    <w:rsid w:val="00E9745B"/>
    <w:rsid w:val="00EB342E"/>
    <w:rsid w:val="00F40E48"/>
    <w:rsid w:val="00F445F8"/>
    <w:rsid w:val="00F9192E"/>
    <w:rsid w:val="00FC7731"/>
    <w:rsid w:val="00FD4BEB"/>
    <w:rsid w:val="00FE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79a6dd"/>
      <o:colormenu v:ext="edit" fillcolor="none [1941]" strokecolor="none [2732]"/>
    </o:shapedefaults>
    <o:shapelayout v:ext="edit">
      <o:idmap v:ext="edit" data="1"/>
    </o:shapelayout>
  </w:shapeDefaults>
  <w:decimalSymbol w:val="."/>
  <w:listSeparator w:val=","/>
  <w14:docId w14:val="1630B108"/>
  <w15:docId w15:val="{0BB7D211-B408-41C9-9465-8885FE42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54F"/>
    <w:pPr>
      <w:ind w:left="720"/>
      <w:contextualSpacing/>
    </w:pPr>
  </w:style>
  <w:style w:type="paragraph" w:styleId="NormalWeb">
    <w:name w:val="Normal (Web)"/>
    <w:basedOn w:val="Normal"/>
    <w:uiPriority w:val="99"/>
    <w:unhideWhenUsed/>
    <w:rsid w:val="00C365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1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92E"/>
  </w:style>
  <w:style w:type="paragraph" w:styleId="Footer">
    <w:name w:val="footer"/>
    <w:basedOn w:val="Normal"/>
    <w:link w:val="FooterChar"/>
    <w:uiPriority w:val="99"/>
    <w:unhideWhenUsed/>
    <w:rsid w:val="00F9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2E"/>
  </w:style>
  <w:style w:type="paragraph" w:styleId="BalloonText">
    <w:name w:val="Balloon Text"/>
    <w:basedOn w:val="Normal"/>
    <w:link w:val="BalloonTextChar"/>
    <w:uiPriority w:val="99"/>
    <w:semiHidden/>
    <w:unhideWhenUsed/>
    <w:rsid w:val="00F9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2E"/>
    <w:rPr>
      <w:rFonts w:ascii="Tahoma" w:hAnsi="Tahoma" w:cs="Tahoma"/>
      <w:sz w:val="16"/>
      <w:szCs w:val="16"/>
    </w:rPr>
  </w:style>
  <w:style w:type="character" w:styleId="Hyperlink">
    <w:name w:val="Hyperlink"/>
    <w:basedOn w:val="DefaultParagraphFont"/>
    <w:uiPriority w:val="99"/>
    <w:unhideWhenUsed/>
    <w:rsid w:val="002C5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1288">
      <w:bodyDiv w:val="1"/>
      <w:marLeft w:val="0"/>
      <w:marRight w:val="0"/>
      <w:marTop w:val="0"/>
      <w:marBottom w:val="0"/>
      <w:divBdr>
        <w:top w:val="none" w:sz="0" w:space="0" w:color="auto"/>
        <w:left w:val="none" w:sz="0" w:space="0" w:color="auto"/>
        <w:bottom w:val="none" w:sz="0" w:space="0" w:color="auto"/>
        <w:right w:val="none" w:sz="0" w:space="0" w:color="auto"/>
      </w:divBdr>
      <w:divsChild>
        <w:div w:id="35129936">
          <w:marLeft w:val="0"/>
          <w:marRight w:val="0"/>
          <w:marTop w:val="0"/>
          <w:marBottom w:val="0"/>
          <w:divBdr>
            <w:top w:val="none" w:sz="0" w:space="0" w:color="auto"/>
            <w:left w:val="none" w:sz="0" w:space="0" w:color="auto"/>
            <w:bottom w:val="none" w:sz="0" w:space="0" w:color="auto"/>
            <w:right w:val="none" w:sz="0" w:space="0" w:color="auto"/>
          </w:divBdr>
          <w:divsChild>
            <w:div w:id="1002126814">
              <w:marLeft w:val="0"/>
              <w:marRight w:val="0"/>
              <w:marTop w:val="0"/>
              <w:marBottom w:val="0"/>
              <w:divBdr>
                <w:top w:val="none" w:sz="0" w:space="0" w:color="auto"/>
                <w:left w:val="none" w:sz="0" w:space="0" w:color="auto"/>
                <w:bottom w:val="none" w:sz="0" w:space="0" w:color="auto"/>
                <w:right w:val="none" w:sz="0" w:space="0" w:color="auto"/>
              </w:divBdr>
              <w:divsChild>
                <w:div w:id="8746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delinds</dc:creator>
  <cp:lastModifiedBy>Witzig, Amy</cp:lastModifiedBy>
  <cp:revision>3</cp:revision>
  <cp:lastPrinted>2011-02-24T20:07:00Z</cp:lastPrinted>
  <dcterms:created xsi:type="dcterms:W3CDTF">2019-07-10T20:58:00Z</dcterms:created>
  <dcterms:modified xsi:type="dcterms:W3CDTF">2019-07-10T21:01:00Z</dcterms:modified>
</cp:coreProperties>
</file>